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4A9" w:rsidRDefault="008B4CBB" w:rsidP="008D04A9">
      <w:pPr>
        <w:jc w:val="center"/>
        <w:rPr>
          <w:b/>
        </w:rPr>
      </w:pPr>
      <w:r>
        <w:rPr>
          <w:b/>
        </w:rPr>
        <w:t xml:space="preserve">Jaarverslag </w:t>
      </w:r>
      <w:r w:rsidR="008D04A9">
        <w:rPr>
          <w:b/>
        </w:rPr>
        <w:t>van het fertiliteitslaboratorium St. Antonius Ziekenhuis 201</w:t>
      </w:r>
      <w:r w:rsidR="00716E20">
        <w:rPr>
          <w:b/>
        </w:rPr>
        <w:t>9</w:t>
      </w:r>
      <w:r w:rsidR="0036201E">
        <w:rPr>
          <w:b/>
        </w:rPr>
        <w:t xml:space="preserve"> </w:t>
      </w:r>
    </w:p>
    <w:p w:rsidR="008B4CBB" w:rsidRDefault="008D04A9" w:rsidP="008D04A9">
      <w:pPr>
        <w:jc w:val="center"/>
        <w:rPr>
          <w:b/>
        </w:rPr>
      </w:pPr>
      <w:proofErr w:type="spellStart"/>
      <w:r>
        <w:rPr>
          <w:b/>
        </w:rPr>
        <w:t>S</w:t>
      </w:r>
      <w:r w:rsidR="008B4CBB">
        <w:rPr>
          <w:b/>
        </w:rPr>
        <w:t>emenopwerkingen</w:t>
      </w:r>
      <w:proofErr w:type="spellEnd"/>
      <w:r w:rsidR="008B4CBB">
        <w:rPr>
          <w:b/>
        </w:rPr>
        <w:t xml:space="preserve"> t.b.v. Intra Uterine Inseminatie (IUI)</w:t>
      </w:r>
    </w:p>
    <w:p w:rsidR="008B4CBB" w:rsidRDefault="008B4CBB" w:rsidP="005B2CA6">
      <w:pPr>
        <w:rPr>
          <w:b/>
        </w:rPr>
      </w:pPr>
    </w:p>
    <w:p w:rsidR="00B124F2" w:rsidRPr="00042AB4" w:rsidRDefault="00B124F2" w:rsidP="00B124F2">
      <w:r w:rsidRPr="00D31AE4">
        <w:t>Het fertiliteitslaboratorium is een onderdeel/werkplek van het algemeen Klinisch Chemisch Laboratorium, een afdeling binnen het St Antonius Ziekenhuis. Het organogram en beschrijving van de bestuurlijke organisatie is opvraagbaar. De Laboratorium Specialist Klinische Chemie met aandachtsgebied fertiliteit, mevr. Dr. I.M. Dijkstra, is voor deze afdeling de Verantwoordelijk Persoon (VP) voor de weefselinstelling en aanspreekpunt voor de Inspectie.</w:t>
      </w:r>
      <w:r w:rsidRPr="00042AB4">
        <w:t xml:space="preserve"> </w:t>
      </w:r>
    </w:p>
    <w:p w:rsidR="00B124F2" w:rsidRPr="00042AB4" w:rsidRDefault="00B124F2" w:rsidP="00B124F2"/>
    <w:p w:rsidR="00B124F2" w:rsidRPr="00042AB4" w:rsidRDefault="00B124F2" w:rsidP="00B124F2">
      <w:r w:rsidRPr="00042AB4">
        <w:t>Er bestaat erkenning als weefselinstelling met registernummer 4785 L/EW voor de volgende werkzaamheden:</w:t>
      </w:r>
    </w:p>
    <w:p w:rsidR="00B124F2" w:rsidRPr="00042AB4" w:rsidRDefault="00B124F2" w:rsidP="00B124F2">
      <w:r w:rsidRPr="00042AB4">
        <w:rPr>
          <w:noProof/>
        </w:rPr>
        <w:drawing>
          <wp:inline distT="0" distB="0" distL="0" distR="0" wp14:anchorId="2EAC7B05" wp14:editId="29F84CDA">
            <wp:extent cx="4154750" cy="2984652"/>
            <wp:effectExtent l="0" t="0" r="0" b="635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65092" name=""/>
                    <pic:cNvPicPr/>
                  </pic:nvPicPr>
                  <pic:blipFill>
                    <a:blip r:embed="rId5"/>
                    <a:stretch>
                      <a:fillRect/>
                    </a:stretch>
                  </pic:blipFill>
                  <pic:spPr>
                    <a:xfrm>
                      <a:off x="0" y="0"/>
                      <a:ext cx="4155181" cy="2984961"/>
                    </a:xfrm>
                    <a:prstGeom prst="rect">
                      <a:avLst/>
                    </a:prstGeom>
                  </pic:spPr>
                </pic:pic>
              </a:graphicData>
            </a:graphic>
          </wp:inline>
        </w:drawing>
      </w:r>
    </w:p>
    <w:p w:rsidR="00B124F2" w:rsidRPr="00042AB4" w:rsidRDefault="00B124F2" w:rsidP="00B124F2">
      <w:pPr>
        <w:rPr>
          <w:b/>
        </w:rPr>
      </w:pPr>
    </w:p>
    <w:p w:rsidR="00B124F2" w:rsidRPr="00D31AE4" w:rsidRDefault="00B124F2" w:rsidP="00B124F2">
      <w:r w:rsidRPr="00D31AE4">
        <w:t xml:space="preserve">De afdeling gynaecologie heeft na een inspectiebezoek in 2018 een vergunning verkregen voor: </w:t>
      </w:r>
    </w:p>
    <w:p w:rsidR="00B124F2" w:rsidRPr="00042AB4" w:rsidRDefault="00B124F2" w:rsidP="00B124F2">
      <w:r w:rsidRPr="00D31AE4">
        <w:t>-</w:t>
      </w:r>
      <w:proofErr w:type="spellStart"/>
      <w:r w:rsidRPr="00D31AE4">
        <w:t>donorsemen</w:t>
      </w:r>
      <w:proofErr w:type="spellEnd"/>
      <w:r w:rsidRPr="00D31AE4">
        <w:t>: het in ontvangst nemen na verkrijgen (verkrijgen, doneren en testen).</w:t>
      </w:r>
      <w:r w:rsidRPr="00042AB4">
        <w:t xml:space="preserve"> </w:t>
      </w:r>
    </w:p>
    <w:p w:rsidR="00B124F2" w:rsidRDefault="00B124F2" w:rsidP="00B124F2">
      <w:pPr>
        <w:rPr>
          <w:highlight w:val="yellow"/>
        </w:rPr>
      </w:pPr>
    </w:p>
    <w:p w:rsidR="00B124F2" w:rsidRDefault="00B124F2" w:rsidP="00B124F2"/>
    <w:p w:rsidR="00B124F2" w:rsidRPr="003E785E" w:rsidRDefault="00B124F2" w:rsidP="00B124F2">
      <w:pPr>
        <w:rPr>
          <w:b/>
        </w:rPr>
      </w:pPr>
      <w:r w:rsidRPr="003E785E">
        <w:rPr>
          <w:b/>
        </w:rPr>
        <w:t>D</w:t>
      </w:r>
      <w:r w:rsidR="000F12B8">
        <w:rPr>
          <w:b/>
        </w:rPr>
        <w:t>ienstverleningsovereenkomst (D</w:t>
      </w:r>
      <w:r w:rsidRPr="003E785E">
        <w:rPr>
          <w:b/>
        </w:rPr>
        <w:t>VO</w:t>
      </w:r>
      <w:r w:rsidR="000F12B8">
        <w:rPr>
          <w:b/>
        </w:rPr>
        <w:t>)</w:t>
      </w:r>
      <w:r w:rsidRPr="003E785E">
        <w:rPr>
          <w:b/>
        </w:rPr>
        <w:t xml:space="preserve"> Klinische Chemie en Gynaecologie m.b.t. semenbewerking t.b.v. IUI</w:t>
      </w:r>
    </w:p>
    <w:p w:rsidR="00B124F2" w:rsidRDefault="00B124F2" w:rsidP="00B124F2">
      <w:pPr>
        <w:rPr>
          <w:rFonts w:cs="Arial"/>
          <w:b/>
          <w:i/>
        </w:rPr>
      </w:pPr>
      <w:r>
        <w:t xml:space="preserve">In september 2019 heeft een evaluatie van de in 2018 opgestelde DVO met gynaecologie plaatsgevonden en is de DVO verlengd. </w:t>
      </w:r>
    </w:p>
    <w:p w:rsidR="00B124F2" w:rsidRDefault="00B124F2" w:rsidP="00B124F2">
      <w:pPr>
        <w:rPr>
          <w:rFonts w:cs="Arial"/>
          <w:b/>
          <w:i/>
        </w:rPr>
      </w:pPr>
    </w:p>
    <w:p w:rsidR="00B124F2" w:rsidRPr="003E785E" w:rsidRDefault="00B124F2" w:rsidP="00B124F2">
      <w:pPr>
        <w:rPr>
          <w:rFonts w:cs="Arial"/>
        </w:rPr>
      </w:pPr>
      <w:r w:rsidRPr="003E785E">
        <w:rPr>
          <w:rFonts w:cs="Arial"/>
          <w:i/>
        </w:rPr>
        <w:t>Samenvatting evaluatie</w:t>
      </w:r>
      <w:r w:rsidRPr="003E785E">
        <w:rPr>
          <w:rFonts w:cs="Arial"/>
        </w:rPr>
        <w:t xml:space="preserve">: </w:t>
      </w:r>
    </w:p>
    <w:p w:rsidR="00B124F2" w:rsidRDefault="00B124F2" w:rsidP="00B124F2">
      <w:pPr>
        <w:rPr>
          <w:rFonts w:cs="Arial"/>
        </w:rPr>
      </w:pPr>
      <w:r>
        <w:rPr>
          <w:rFonts w:cs="Arial"/>
        </w:rPr>
        <w:t xml:space="preserve">Algemeen: beide partijen zijn tevreden. </w:t>
      </w:r>
      <w:r w:rsidR="00C66C8B">
        <w:rPr>
          <w:rFonts w:cs="Arial"/>
        </w:rPr>
        <w:t>De v</w:t>
      </w:r>
      <w:r>
        <w:rPr>
          <w:rFonts w:cs="Arial"/>
        </w:rPr>
        <w:t xml:space="preserve">erwachtingen m.b.t </w:t>
      </w:r>
      <w:r w:rsidR="00C66C8B">
        <w:rPr>
          <w:rFonts w:cs="Arial"/>
        </w:rPr>
        <w:t>het aanbod</w:t>
      </w:r>
      <w:r>
        <w:rPr>
          <w:rFonts w:cs="Arial"/>
        </w:rPr>
        <w:t xml:space="preserve"> </w:t>
      </w:r>
      <w:r w:rsidR="00C66C8B">
        <w:rPr>
          <w:rFonts w:cs="Arial"/>
        </w:rPr>
        <w:t xml:space="preserve">van semen voor bewerking </w:t>
      </w:r>
      <w:r>
        <w:rPr>
          <w:rFonts w:cs="Arial"/>
        </w:rPr>
        <w:t xml:space="preserve">zijn dat deze stabiel/vergelijkbaar blijft. </w:t>
      </w:r>
      <w:r w:rsidR="00C66C8B">
        <w:rPr>
          <w:rFonts w:cs="Arial"/>
        </w:rPr>
        <w:t>De afdeling g</w:t>
      </w:r>
      <w:r>
        <w:rPr>
          <w:rFonts w:cs="Arial"/>
        </w:rPr>
        <w:t xml:space="preserve">ynaecologie verricht wel meer inseminaties met cryo-semen, daarbij is </w:t>
      </w:r>
      <w:r w:rsidR="00C66C8B">
        <w:rPr>
          <w:rFonts w:cs="Arial"/>
        </w:rPr>
        <w:t>het laboratorium niet betrokken.</w:t>
      </w:r>
      <w:r>
        <w:rPr>
          <w:rFonts w:cs="Arial"/>
        </w:rPr>
        <w:t xml:space="preserve"> </w:t>
      </w:r>
      <w:r w:rsidR="00C66C8B">
        <w:rPr>
          <w:rFonts w:cs="Arial"/>
        </w:rPr>
        <w:t>D</w:t>
      </w:r>
      <w:r>
        <w:rPr>
          <w:rFonts w:cs="Arial"/>
        </w:rPr>
        <w:t>eze activiteit heeft verder ook weinig/geen invloed op het aanbod van verse semen</w:t>
      </w:r>
      <w:r w:rsidR="00C66C8B">
        <w:rPr>
          <w:rFonts w:cs="Arial"/>
        </w:rPr>
        <w:t xml:space="preserve"> </w:t>
      </w:r>
      <w:r>
        <w:rPr>
          <w:rFonts w:cs="Arial"/>
        </w:rPr>
        <w:t xml:space="preserve">samples voor </w:t>
      </w:r>
      <w:r w:rsidR="00C66C8B">
        <w:rPr>
          <w:rFonts w:cs="Arial"/>
        </w:rPr>
        <w:t>bewerki</w:t>
      </w:r>
      <w:r>
        <w:rPr>
          <w:rFonts w:cs="Arial"/>
        </w:rPr>
        <w:t>n</w:t>
      </w:r>
      <w:r w:rsidR="00C66C8B">
        <w:rPr>
          <w:rFonts w:cs="Arial"/>
        </w:rPr>
        <w:t>g</w:t>
      </w:r>
      <w:r>
        <w:rPr>
          <w:rFonts w:cs="Arial"/>
        </w:rPr>
        <w:t>.</w:t>
      </w:r>
    </w:p>
    <w:p w:rsidR="00B124F2" w:rsidRPr="00042AB4" w:rsidRDefault="00B124F2" w:rsidP="00B124F2">
      <w:pPr>
        <w:spacing w:after="200" w:line="276" w:lineRule="auto"/>
        <w:contextualSpacing/>
      </w:pPr>
    </w:p>
    <w:p w:rsidR="00B124F2" w:rsidRPr="00042AB4" w:rsidRDefault="00B124F2" w:rsidP="00B124F2"/>
    <w:p w:rsidR="00B124F2" w:rsidRDefault="00B124F2" w:rsidP="00B124F2">
      <w:pPr>
        <w:rPr>
          <w:b/>
        </w:rPr>
      </w:pPr>
      <w:r>
        <w:rPr>
          <w:b/>
        </w:rPr>
        <w:br w:type="page"/>
      </w:r>
    </w:p>
    <w:p w:rsidR="00B124F2" w:rsidRPr="003723EB" w:rsidRDefault="001F74CA" w:rsidP="00B124F2">
      <w:pPr>
        <w:rPr>
          <w:b/>
        </w:rPr>
      </w:pPr>
      <w:r>
        <w:rPr>
          <w:b/>
        </w:rPr>
        <w:lastRenderedPageBreak/>
        <w:t>A</w:t>
      </w:r>
      <w:r w:rsidR="00B124F2" w:rsidRPr="003723EB">
        <w:rPr>
          <w:b/>
        </w:rPr>
        <w:t>nalyse van resultaten</w:t>
      </w:r>
      <w:r w:rsidR="00B124F2">
        <w:rPr>
          <w:b/>
        </w:rPr>
        <w:t xml:space="preserve"> (tabel 1)</w:t>
      </w:r>
      <w:r w:rsidR="00B124F2" w:rsidRPr="003723EB">
        <w:rPr>
          <w:b/>
        </w:rPr>
        <w:t xml:space="preserve"> </w:t>
      </w:r>
    </w:p>
    <w:p w:rsidR="00B124F2" w:rsidRPr="00351BC7" w:rsidRDefault="00B124F2" w:rsidP="00B124F2">
      <w:r w:rsidRPr="003723EB">
        <w:t>In 2019 zijn 89</w:t>
      </w:r>
      <w:r w:rsidR="00C66C8B">
        <w:t>1</w:t>
      </w:r>
      <w:r w:rsidRPr="003723EB">
        <w:t xml:space="preserve"> semen monsters aangeboden bij het laboratorium voor bewerking ten behoeve van IUI, waarbij uiteindelijk 8</w:t>
      </w:r>
      <w:r w:rsidR="00C66C8B">
        <w:t>76</w:t>
      </w:r>
      <w:r w:rsidRPr="003723EB">
        <w:t xml:space="preserve"> semen monsters daadwerkelijk zijn bewerkt. Het aantal niet doorgaande </w:t>
      </w:r>
      <w:r w:rsidR="00BD4A08">
        <w:t>be</w:t>
      </w:r>
      <w:r w:rsidRPr="003723EB">
        <w:t>werkingen bedroeg 1</w:t>
      </w:r>
      <w:r w:rsidR="00C66C8B">
        <w:t>5</w:t>
      </w:r>
      <w:r w:rsidRPr="003723EB">
        <w:t xml:space="preserve"> (1,</w:t>
      </w:r>
      <w:r w:rsidR="00C66C8B">
        <w:t>7</w:t>
      </w:r>
      <w:r w:rsidRPr="003723EB">
        <w:t>%)</w:t>
      </w:r>
      <w:r>
        <w:t xml:space="preserve">. </w:t>
      </w:r>
      <w:r w:rsidRPr="00351BC7">
        <w:t>Ten opzichte van het voorgaande jaar is sprake van een gelijkblijvend</w:t>
      </w:r>
      <w:r w:rsidR="00BD4A08">
        <w:t xml:space="preserve"> aantal </w:t>
      </w:r>
      <w:proofErr w:type="spellStart"/>
      <w:r w:rsidR="00BD4A08">
        <w:t>semenbewerkingen</w:t>
      </w:r>
      <w:proofErr w:type="spellEnd"/>
      <w:r w:rsidRPr="00351BC7">
        <w:t>:</w:t>
      </w:r>
    </w:p>
    <w:p w:rsidR="00B124F2" w:rsidRDefault="00B124F2" w:rsidP="00B124F2"/>
    <w:p w:rsidR="00B124F2" w:rsidRPr="00351BC7" w:rsidRDefault="00B124F2" w:rsidP="00B124F2">
      <w:r>
        <w:t xml:space="preserve">Tabel 1:productiegegevens m.b.t. </w:t>
      </w:r>
      <w:proofErr w:type="spellStart"/>
      <w:r>
        <w:t>semenbewerkingen</w:t>
      </w:r>
      <w:proofErr w:type="spellEnd"/>
    </w:p>
    <w:tbl>
      <w:tblPr>
        <w:tblpPr w:leftFromText="141" w:rightFromText="141" w:vertAnchor="text" w:horzAnchor="margin" w:tblpY="91"/>
        <w:tblW w:w="838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540"/>
        <w:gridCol w:w="2283"/>
        <w:gridCol w:w="2283"/>
        <w:gridCol w:w="2283"/>
      </w:tblGrid>
      <w:tr w:rsidR="00B124F2" w:rsidRPr="00351BC7" w:rsidTr="006004CE">
        <w:trPr>
          <w:trHeight w:val="255"/>
        </w:trPr>
        <w:tc>
          <w:tcPr>
            <w:tcW w:w="1540" w:type="dxa"/>
            <w:tcBorders>
              <w:top w:val="single" w:sz="4" w:space="0" w:color="auto"/>
              <w:bottom w:val="single" w:sz="4" w:space="0" w:color="auto"/>
            </w:tcBorders>
            <w:shd w:val="clear" w:color="auto" w:fill="auto"/>
            <w:noWrap/>
            <w:vAlign w:val="bottom"/>
            <w:hideMark/>
          </w:tcPr>
          <w:p w:rsidR="00B124F2" w:rsidRPr="00351BC7" w:rsidRDefault="00B124F2" w:rsidP="006004CE">
            <w:pPr>
              <w:jc w:val="center"/>
              <w:rPr>
                <w:rFonts w:cs="Arial"/>
                <w:b/>
                <w:color w:val="000000"/>
              </w:rPr>
            </w:pPr>
            <w:r>
              <w:rPr>
                <w:rFonts w:cs="Arial"/>
                <w:b/>
                <w:color w:val="000000"/>
              </w:rPr>
              <w:t>j</w:t>
            </w:r>
            <w:r w:rsidRPr="00351BC7">
              <w:rPr>
                <w:rFonts w:cs="Arial"/>
                <w:b/>
                <w:color w:val="000000"/>
              </w:rPr>
              <w:t>aar</w:t>
            </w:r>
          </w:p>
          <w:p w:rsidR="00B124F2" w:rsidRPr="00351BC7" w:rsidRDefault="00B124F2" w:rsidP="006004CE">
            <w:pPr>
              <w:jc w:val="center"/>
              <w:rPr>
                <w:rFonts w:cs="Arial"/>
                <w:color w:val="000000"/>
              </w:rPr>
            </w:pPr>
          </w:p>
        </w:tc>
        <w:tc>
          <w:tcPr>
            <w:tcW w:w="2283" w:type="dxa"/>
            <w:tcBorders>
              <w:top w:val="single" w:sz="4" w:space="0" w:color="auto"/>
              <w:bottom w:val="single" w:sz="4" w:space="0" w:color="auto"/>
            </w:tcBorders>
            <w:shd w:val="clear" w:color="auto" w:fill="auto"/>
            <w:noWrap/>
            <w:vAlign w:val="bottom"/>
            <w:hideMark/>
          </w:tcPr>
          <w:p w:rsidR="00B124F2" w:rsidRPr="00351BC7" w:rsidRDefault="00B124F2" w:rsidP="006004CE">
            <w:pPr>
              <w:jc w:val="center"/>
              <w:rPr>
                <w:rFonts w:cs="Arial"/>
                <w:color w:val="000000"/>
              </w:rPr>
            </w:pPr>
            <w:r>
              <w:rPr>
                <w:rFonts w:cs="Arial"/>
                <w:b/>
                <w:color w:val="000000"/>
              </w:rPr>
              <w:t>a</w:t>
            </w:r>
            <w:r w:rsidRPr="00351BC7">
              <w:rPr>
                <w:rFonts w:cs="Arial"/>
                <w:b/>
                <w:color w:val="000000"/>
              </w:rPr>
              <w:t xml:space="preserve">antal </w:t>
            </w:r>
            <w:r>
              <w:rPr>
                <w:rFonts w:cs="Arial"/>
                <w:b/>
                <w:color w:val="000000"/>
              </w:rPr>
              <w:t>aangeboden voor be</w:t>
            </w:r>
            <w:r w:rsidRPr="00351BC7">
              <w:rPr>
                <w:rFonts w:cs="Arial"/>
                <w:b/>
                <w:color w:val="000000"/>
              </w:rPr>
              <w:t>werk</w:t>
            </w:r>
            <w:r>
              <w:rPr>
                <w:rFonts w:cs="Arial"/>
                <w:b/>
                <w:color w:val="000000"/>
              </w:rPr>
              <w:t>e</w:t>
            </w:r>
            <w:r w:rsidRPr="00351BC7">
              <w:rPr>
                <w:rFonts w:cs="Arial"/>
                <w:b/>
                <w:color w:val="000000"/>
              </w:rPr>
              <w:t>n</w:t>
            </w:r>
          </w:p>
        </w:tc>
        <w:tc>
          <w:tcPr>
            <w:tcW w:w="2283" w:type="dxa"/>
            <w:tcBorders>
              <w:top w:val="single" w:sz="4" w:space="0" w:color="auto"/>
              <w:bottom w:val="single" w:sz="4" w:space="0" w:color="auto"/>
            </w:tcBorders>
          </w:tcPr>
          <w:p w:rsidR="00B124F2" w:rsidRDefault="00B124F2" w:rsidP="006004CE">
            <w:pPr>
              <w:jc w:val="center"/>
              <w:rPr>
                <w:rFonts w:cs="Arial"/>
                <w:b/>
                <w:color w:val="000000"/>
              </w:rPr>
            </w:pPr>
            <w:r>
              <w:rPr>
                <w:rFonts w:cs="Arial"/>
                <w:b/>
                <w:color w:val="000000"/>
              </w:rPr>
              <w:t>aantal doorgaande bewerkingen</w:t>
            </w:r>
          </w:p>
        </w:tc>
        <w:tc>
          <w:tcPr>
            <w:tcW w:w="2283" w:type="dxa"/>
            <w:tcBorders>
              <w:top w:val="single" w:sz="4" w:space="0" w:color="auto"/>
              <w:bottom w:val="single" w:sz="4" w:space="0" w:color="auto"/>
            </w:tcBorders>
          </w:tcPr>
          <w:p w:rsidR="00B124F2" w:rsidRDefault="00B124F2" w:rsidP="006004CE">
            <w:pPr>
              <w:jc w:val="center"/>
              <w:rPr>
                <w:rFonts w:cs="Arial"/>
                <w:b/>
                <w:color w:val="000000"/>
              </w:rPr>
            </w:pPr>
            <w:r>
              <w:rPr>
                <w:rFonts w:cs="Arial"/>
                <w:b/>
                <w:color w:val="000000"/>
              </w:rPr>
              <w:t>recovery</w:t>
            </w:r>
          </w:p>
          <w:p w:rsidR="00B124F2" w:rsidRDefault="00B124F2" w:rsidP="006004CE">
            <w:pPr>
              <w:jc w:val="center"/>
              <w:rPr>
                <w:rFonts w:cs="Arial"/>
                <w:b/>
                <w:color w:val="000000"/>
              </w:rPr>
            </w:pPr>
            <w:r>
              <w:rPr>
                <w:rFonts w:cs="Arial"/>
                <w:b/>
                <w:color w:val="000000"/>
              </w:rPr>
              <w:t>VCM (%)</w:t>
            </w:r>
          </w:p>
        </w:tc>
      </w:tr>
      <w:tr w:rsidR="00B124F2" w:rsidRPr="00351BC7" w:rsidTr="006004CE">
        <w:trPr>
          <w:trHeight w:val="255"/>
        </w:trPr>
        <w:tc>
          <w:tcPr>
            <w:tcW w:w="1540" w:type="dxa"/>
            <w:shd w:val="clear" w:color="auto" w:fill="auto"/>
            <w:noWrap/>
            <w:vAlign w:val="bottom"/>
            <w:hideMark/>
          </w:tcPr>
          <w:p w:rsidR="00B124F2" w:rsidRPr="00351BC7" w:rsidRDefault="00B124F2" w:rsidP="006004CE">
            <w:pPr>
              <w:jc w:val="center"/>
              <w:rPr>
                <w:rFonts w:cs="Arial"/>
                <w:color w:val="000000"/>
              </w:rPr>
            </w:pPr>
            <w:r w:rsidRPr="00351BC7">
              <w:rPr>
                <w:rFonts w:cs="Arial"/>
                <w:color w:val="000000"/>
              </w:rPr>
              <w:t>2017</w:t>
            </w:r>
          </w:p>
        </w:tc>
        <w:tc>
          <w:tcPr>
            <w:tcW w:w="2283" w:type="dxa"/>
            <w:shd w:val="clear" w:color="auto" w:fill="auto"/>
            <w:noWrap/>
            <w:vAlign w:val="bottom"/>
            <w:hideMark/>
          </w:tcPr>
          <w:p w:rsidR="00B124F2" w:rsidRPr="00351BC7" w:rsidRDefault="00B124F2" w:rsidP="006004CE">
            <w:pPr>
              <w:jc w:val="center"/>
              <w:rPr>
                <w:rFonts w:cs="Arial"/>
                <w:color w:val="000000"/>
              </w:rPr>
            </w:pPr>
            <w:r w:rsidRPr="00351BC7">
              <w:rPr>
                <w:rFonts w:cs="Arial"/>
                <w:color w:val="000000"/>
              </w:rPr>
              <w:t>990</w:t>
            </w:r>
          </w:p>
        </w:tc>
        <w:tc>
          <w:tcPr>
            <w:tcW w:w="2283" w:type="dxa"/>
          </w:tcPr>
          <w:p w:rsidR="00B124F2" w:rsidRPr="00351BC7" w:rsidRDefault="00B124F2" w:rsidP="006004CE">
            <w:pPr>
              <w:jc w:val="center"/>
              <w:rPr>
                <w:rFonts w:cs="Arial"/>
                <w:color w:val="000000"/>
              </w:rPr>
            </w:pPr>
            <w:r>
              <w:rPr>
                <w:rFonts w:cs="Arial"/>
                <w:color w:val="000000"/>
              </w:rPr>
              <w:t>976</w:t>
            </w:r>
          </w:p>
        </w:tc>
        <w:tc>
          <w:tcPr>
            <w:tcW w:w="2283" w:type="dxa"/>
          </w:tcPr>
          <w:p w:rsidR="00B124F2" w:rsidRDefault="00B124F2" w:rsidP="006004CE">
            <w:pPr>
              <w:jc w:val="center"/>
              <w:rPr>
                <w:rFonts w:cs="Arial"/>
                <w:color w:val="000000"/>
              </w:rPr>
            </w:pPr>
            <w:r>
              <w:rPr>
                <w:rFonts w:cs="Arial"/>
                <w:color w:val="000000"/>
              </w:rPr>
              <w:t>18,6</w:t>
            </w:r>
          </w:p>
        </w:tc>
      </w:tr>
      <w:tr w:rsidR="00B124F2" w:rsidRPr="00351BC7" w:rsidTr="006004CE">
        <w:trPr>
          <w:trHeight w:val="255"/>
        </w:trPr>
        <w:tc>
          <w:tcPr>
            <w:tcW w:w="1540" w:type="dxa"/>
            <w:shd w:val="clear" w:color="auto" w:fill="auto"/>
            <w:noWrap/>
            <w:vAlign w:val="bottom"/>
            <w:hideMark/>
          </w:tcPr>
          <w:p w:rsidR="00B124F2" w:rsidRPr="00351BC7" w:rsidRDefault="00B124F2" w:rsidP="006004CE">
            <w:pPr>
              <w:jc w:val="center"/>
              <w:rPr>
                <w:rFonts w:cs="Arial"/>
                <w:color w:val="000000"/>
              </w:rPr>
            </w:pPr>
            <w:r w:rsidRPr="00351BC7">
              <w:rPr>
                <w:rFonts w:cs="Arial"/>
                <w:color w:val="000000"/>
              </w:rPr>
              <w:t>2018</w:t>
            </w:r>
          </w:p>
        </w:tc>
        <w:tc>
          <w:tcPr>
            <w:tcW w:w="2283" w:type="dxa"/>
            <w:shd w:val="clear" w:color="auto" w:fill="auto"/>
            <w:noWrap/>
            <w:vAlign w:val="bottom"/>
            <w:hideMark/>
          </w:tcPr>
          <w:p w:rsidR="00B124F2" w:rsidRPr="00351BC7" w:rsidRDefault="00B124F2" w:rsidP="006004CE">
            <w:pPr>
              <w:jc w:val="center"/>
              <w:rPr>
                <w:rFonts w:cs="Arial"/>
                <w:color w:val="000000"/>
              </w:rPr>
            </w:pPr>
            <w:r w:rsidRPr="00351BC7">
              <w:rPr>
                <w:rFonts w:cs="Arial"/>
                <w:color w:val="000000"/>
              </w:rPr>
              <w:t>888</w:t>
            </w:r>
          </w:p>
        </w:tc>
        <w:tc>
          <w:tcPr>
            <w:tcW w:w="2283" w:type="dxa"/>
          </w:tcPr>
          <w:p w:rsidR="00B124F2" w:rsidRPr="00351BC7" w:rsidRDefault="00B124F2" w:rsidP="006004CE">
            <w:pPr>
              <w:jc w:val="center"/>
              <w:rPr>
                <w:rFonts w:cs="Arial"/>
                <w:color w:val="000000"/>
              </w:rPr>
            </w:pPr>
            <w:r>
              <w:rPr>
                <w:rFonts w:cs="Arial"/>
                <w:color w:val="000000"/>
              </w:rPr>
              <w:t>874</w:t>
            </w:r>
          </w:p>
        </w:tc>
        <w:tc>
          <w:tcPr>
            <w:tcW w:w="2283" w:type="dxa"/>
          </w:tcPr>
          <w:p w:rsidR="00B124F2" w:rsidRDefault="00B124F2" w:rsidP="006004CE">
            <w:pPr>
              <w:jc w:val="center"/>
              <w:rPr>
                <w:rFonts w:cs="Arial"/>
                <w:color w:val="000000"/>
              </w:rPr>
            </w:pPr>
            <w:r>
              <w:rPr>
                <w:rFonts w:cs="Arial"/>
                <w:color w:val="000000"/>
              </w:rPr>
              <w:t>17,7</w:t>
            </w:r>
          </w:p>
        </w:tc>
      </w:tr>
      <w:tr w:rsidR="00B124F2" w:rsidRPr="008353D2" w:rsidTr="006004CE">
        <w:trPr>
          <w:trHeight w:val="255"/>
        </w:trPr>
        <w:tc>
          <w:tcPr>
            <w:tcW w:w="1540" w:type="dxa"/>
            <w:shd w:val="clear" w:color="auto" w:fill="auto"/>
            <w:noWrap/>
            <w:vAlign w:val="bottom"/>
          </w:tcPr>
          <w:p w:rsidR="00B124F2" w:rsidRPr="00351BC7" w:rsidRDefault="00B124F2" w:rsidP="006004CE">
            <w:pPr>
              <w:jc w:val="center"/>
              <w:rPr>
                <w:rFonts w:cs="Arial"/>
                <w:color w:val="000000"/>
              </w:rPr>
            </w:pPr>
            <w:r w:rsidRPr="00351BC7">
              <w:rPr>
                <w:rFonts w:cs="Arial"/>
                <w:color w:val="000000"/>
              </w:rPr>
              <w:t>2019</w:t>
            </w:r>
          </w:p>
        </w:tc>
        <w:tc>
          <w:tcPr>
            <w:tcW w:w="2283" w:type="dxa"/>
            <w:shd w:val="clear" w:color="auto" w:fill="auto"/>
            <w:noWrap/>
            <w:vAlign w:val="bottom"/>
          </w:tcPr>
          <w:p w:rsidR="00B124F2" w:rsidRPr="00351BC7" w:rsidRDefault="00B124F2" w:rsidP="001F74CA">
            <w:pPr>
              <w:jc w:val="center"/>
              <w:rPr>
                <w:rFonts w:cs="Arial"/>
                <w:color w:val="000000"/>
              </w:rPr>
            </w:pPr>
            <w:r w:rsidRPr="00351BC7">
              <w:rPr>
                <w:rFonts w:cs="Arial"/>
                <w:color w:val="000000"/>
              </w:rPr>
              <w:t>89</w:t>
            </w:r>
            <w:r w:rsidR="001F74CA">
              <w:rPr>
                <w:rFonts w:cs="Arial"/>
                <w:color w:val="000000"/>
              </w:rPr>
              <w:t>1</w:t>
            </w:r>
          </w:p>
        </w:tc>
        <w:tc>
          <w:tcPr>
            <w:tcW w:w="2283" w:type="dxa"/>
          </w:tcPr>
          <w:p w:rsidR="00B124F2" w:rsidRPr="00351BC7" w:rsidRDefault="00B124F2" w:rsidP="001F74CA">
            <w:pPr>
              <w:jc w:val="center"/>
              <w:rPr>
                <w:rFonts w:cs="Arial"/>
                <w:color w:val="000000"/>
              </w:rPr>
            </w:pPr>
            <w:r>
              <w:rPr>
                <w:rFonts w:cs="Arial"/>
                <w:color w:val="000000"/>
              </w:rPr>
              <w:t>8</w:t>
            </w:r>
            <w:r w:rsidR="001F74CA">
              <w:rPr>
                <w:rFonts w:cs="Arial"/>
                <w:color w:val="000000"/>
              </w:rPr>
              <w:t>76</w:t>
            </w:r>
          </w:p>
        </w:tc>
        <w:tc>
          <w:tcPr>
            <w:tcW w:w="2283" w:type="dxa"/>
          </w:tcPr>
          <w:p w:rsidR="00B124F2" w:rsidRDefault="00B124F2" w:rsidP="006004CE">
            <w:pPr>
              <w:jc w:val="center"/>
              <w:rPr>
                <w:rFonts w:cs="Arial"/>
                <w:color w:val="000000"/>
              </w:rPr>
            </w:pPr>
            <w:r>
              <w:rPr>
                <w:rFonts w:cs="Arial"/>
                <w:color w:val="000000"/>
              </w:rPr>
              <w:t>18,9</w:t>
            </w:r>
          </w:p>
        </w:tc>
      </w:tr>
    </w:tbl>
    <w:p w:rsidR="00B124F2" w:rsidRPr="008353D2" w:rsidRDefault="00B124F2" w:rsidP="00B124F2">
      <w:pPr>
        <w:rPr>
          <w:highlight w:val="yellow"/>
        </w:rPr>
      </w:pPr>
    </w:p>
    <w:p w:rsidR="00B124F2" w:rsidRPr="008353D2" w:rsidRDefault="00B124F2" w:rsidP="00B124F2">
      <w:pPr>
        <w:rPr>
          <w:highlight w:val="yellow"/>
        </w:rPr>
      </w:pPr>
    </w:p>
    <w:p w:rsidR="00B124F2" w:rsidRPr="008353D2" w:rsidRDefault="00B124F2" w:rsidP="00B124F2">
      <w:pPr>
        <w:rPr>
          <w:highlight w:val="yellow"/>
        </w:rPr>
      </w:pPr>
    </w:p>
    <w:p w:rsidR="00B124F2" w:rsidRPr="008353D2" w:rsidRDefault="00B124F2" w:rsidP="00B124F2">
      <w:pPr>
        <w:rPr>
          <w:highlight w:val="yellow"/>
        </w:rPr>
      </w:pPr>
    </w:p>
    <w:p w:rsidR="00B124F2" w:rsidRPr="008353D2" w:rsidRDefault="00B124F2" w:rsidP="00B124F2">
      <w:pPr>
        <w:rPr>
          <w:highlight w:val="yellow"/>
        </w:rPr>
      </w:pPr>
    </w:p>
    <w:p w:rsidR="00B124F2" w:rsidRPr="008353D2" w:rsidRDefault="00B124F2" w:rsidP="00B124F2">
      <w:pPr>
        <w:rPr>
          <w:highlight w:val="yellow"/>
        </w:rPr>
      </w:pPr>
    </w:p>
    <w:p w:rsidR="00B124F2" w:rsidRPr="008353D2" w:rsidRDefault="00B124F2" w:rsidP="00B124F2">
      <w:pPr>
        <w:rPr>
          <w:highlight w:val="yellow"/>
        </w:rPr>
      </w:pPr>
    </w:p>
    <w:p w:rsidR="00B124F2" w:rsidRPr="00351BC7" w:rsidRDefault="00B124F2" w:rsidP="00B124F2">
      <w:r w:rsidRPr="00351BC7">
        <w:t xml:space="preserve">De gemiddelde recovery van VCM na opwerking was 18,9% wat vergelijkbaar is met de gemiddelde recovery in </w:t>
      </w:r>
      <w:r>
        <w:t>voorgaande jaren.</w:t>
      </w:r>
    </w:p>
    <w:p w:rsidR="00B124F2" w:rsidRDefault="00B124F2" w:rsidP="00B124F2">
      <w:pPr>
        <w:rPr>
          <w:highlight w:val="yellow"/>
        </w:rPr>
      </w:pPr>
    </w:p>
    <w:p w:rsidR="00B124F2" w:rsidRDefault="00264136" w:rsidP="00B124F2">
      <w:r>
        <w:t>Toelichting m.b.t. g</w:t>
      </w:r>
      <w:r w:rsidR="00B124F2">
        <w:t xml:space="preserve">egevens </w:t>
      </w:r>
      <w:proofErr w:type="spellStart"/>
      <w:r w:rsidR="00B124F2">
        <w:t>t.b.v.TRIP</w:t>
      </w:r>
      <w:proofErr w:type="spellEnd"/>
      <w:r w:rsidR="00B124F2">
        <w:t xml:space="preserve"> (tabel 2):</w:t>
      </w:r>
    </w:p>
    <w:p w:rsidR="00D57DBC" w:rsidRDefault="00D57DBC" w:rsidP="00B124F2">
      <w:r>
        <w:t>Op het laboratorium werd 891 maal vers semen ontvangen, waarvan 29 donor samples.</w:t>
      </w:r>
    </w:p>
    <w:p w:rsidR="00D57DBC" w:rsidRDefault="00D57DBC" w:rsidP="00B124F2">
      <w:r>
        <w:t>Bewerking vond 15 maal niet plaats vanwege slechte kwaliteit van het semen (VCM &lt;1 miljoen), dit betrof 15x partner semen</w:t>
      </w:r>
      <w:r w:rsidR="00BD4A08">
        <w:t xml:space="preserve"> </w:t>
      </w:r>
      <w:r w:rsidR="00264136">
        <w:t>samples</w:t>
      </w:r>
      <w:r>
        <w:t xml:space="preserve">. </w:t>
      </w:r>
      <w:r w:rsidR="00264136">
        <w:t xml:space="preserve">In totaal werden op het laboratorium </w:t>
      </w:r>
      <w:r w:rsidR="00CB2EF6">
        <w:t xml:space="preserve">daarom </w:t>
      </w:r>
      <w:r w:rsidR="00264136">
        <w:t>876 samples bewerkt en uitgegeven voor inseminatie.</w:t>
      </w:r>
    </w:p>
    <w:p w:rsidR="00264136" w:rsidRDefault="00CB2EF6" w:rsidP="00B124F2">
      <w:r>
        <w:t>Door</w:t>
      </w:r>
      <w:r w:rsidR="00264136">
        <w:t xml:space="preserve"> </w:t>
      </w:r>
      <w:r>
        <w:t xml:space="preserve">de afdeling </w:t>
      </w:r>
      <w:r w:rsidR="00264136">
        <w:t xml:space="preserve">gynaecologie werden 1007 </w:t>
      </w:r>
      <w:proofErr w:type="spellStart"/>
      <w:r w:rsidR="00264136">
        <w:t>IUI’s</w:t>
      </w:r>
      <w:proofErr w:type="spellEnd"/>
      <w:r w:rsidR="00264136">
        <w:t xml:space="preserve"> uitgevoerd, waarbij 131 maal cryo-semen uit de EU is geïnsemineerd zonder tussenkomst van het laboratorium.</w:t>
      </w:r>
    </w:p>
    <w:p w:rsidR="00B124F2" w:rsidRPr="00DA66CC" w:rsidRDefault="00B124F2" w:rsidP="00B124F2">
      <w:r w:rsidRPr="00DA66CC">
        <w:t xml:space="preserve">Het totaal aantal ontvangers in 2019 bedroeg </w:t>
      </w:r>
      <w:r w:rsidR="001F74CA">
        <w:t>358</w:t>
      </w:r>
      <w:r w:rsidRPr="00DA66CC">
        <w:t xml:space="preserve">, waarbij </w:t>
      </w:r>
      <w:r w:rsidR="00934C30">
        <w:t>46</w:t>
      </w:r>
      <w:r w:rsidRPr="00DA66CC">
        <w:t xml:space="preserve"> ontvangers met donor (vers of cryo-) semen zijn geïnsemineerd.</w:t>
      </w:r>
      <w:r w:rsidRPr="00DA66CC">
        <w:rPr>
          <w:b/>
          <w:vertAlign w:val="superscript"/>
        </w:rPr>
        <w:t xml:space="preserve"> </w:t>
      </w:r>
    </w:p>
    <w:p w:rsidR="00B124F2" w:rsidRDefault="00B124F2" w:rsidP="00B124F2"/>
    <w:p w:rsidR="00B124F2" w:rsidRPr="00042AB4" w:rsidRDefault="00B124F2" w:rsidP="00B124F2">
      <w:pPr>
        <w:spacing w:after="200" w:line="276" w:lineRule="auto"/>
        <w:contextualSpacing/>
        <w:rPr>
          <w:b/>
        </w:rPr>
      </w:pPr>
      <w:r>
        <w:rPr>
          <w:b/>
        </w:rPr>
        <w:t xml:space="preserve">Tabel 2: </w:t>
      </w:r>
      <w:r w:rsidRPr="00042AB4">
        <w:rPr>
          <w:b/>
        </w:rPr>
        <w:t>Register van soorten en hoeveelheden weefsels en/of cellen die verkregen, getest, gepreserveerd, bewerkt, bewaard en gedistribueerd of anderszins gebruikt zijn</w:t>
      </w:r>
      <w:r>
        <w:rPr>
          <w:b/>
        </w:rPr>
        <w:t xml:space="preserve"> (TRIP)</w:t>
      </w:r>
    </w:p>
    <w:tbl>
      <w:tblPr>
        <w:tblStyle w:val="Tabelraster1"/>
        <w:tblW w:w="0" w:type="auto"/>
        <w:tblInd w:w="108" w:type="dxa"/>
        <w:tblLook w:val="04A0" w:firstRow="1" w:lastRow="0" w:firstColumn="1" w:lastColumn="0" w:noHBand="0" w:noVBand="1"/>
      </w:tblPr>
      <w:tblGrid>
        <w:gridCol w:w="2467"/>
        <w:gridCol w:w="3770"/>
      </w:tblGrid>
      <w:tr w:rsidR="00B124F2" w:rsidTr="006004CE">
        <w:tc>
          <w:tcPr>
            <w:tcW w:w="2467" w:type="dxa"/>
          </w:tcPr>
          <w:p w:rsidR="00B124F2" w:rsidRPr="00042AB4" w:rsidRDefault="00B124F2" w:rsidP="006004CE">
            <w:pPr>
              <w:rPr>
                <w:rFonts w:eastAsia="Calibri"/>
                <w:sz w:val="16"/>
                <w:szCs w:val="16"/>
              </w:rPr>
            </w:pPr>
            <w:r w:rsidRPr="00042AB4">
              <w:rPr>
                <w:rFonts w:eastAsia="Calibri"/>
                <w:sz w:val="16"/>
                <w:szCs w:val="16"/>
              </w:rPr>
              <w:t>Weefsel- of cel soort</w:t>
            </w:r>
          </w:p>
        </w:tc>
        <w:tc>
          <w:tcPr>
            <w:tcW w:w="3770" w:type="dxa"/>
          </w:tcPr>
          <w:p w:rsidR="00B124F2" w:rsidRPr="00D31AE4" w:rsidRDefault="00B124F2" w:rsidP="006004CE">
            <w:pPr>
              <w:rPr>
                <w:rFonts w:eastAsia="Calibri"/>
                <w:sz w:val="16"/>
                <w:szCs w:val="16"/>
              </w:rPr>
            </w:pPr>
            <w:r w:rsidRPr="00D31AE4">
              <w:rPr>
                <w:rFonts w:eastAsia="Calibri"/>
                <w:sz w:val="16"/>
                <w:szCs w:val="16"/>
              </w:rPr>
              <w:t xml:space="preserve">gameten </w:t>
            </w:r>
          </w:p>
        </w:tc>
      </w:tr>
      <w:tr w:rsidR="00B124F2" w:rsidTr="006004CE">
        <w:tc>
          <w:tcPr>
            <w:tcW w:w="2467" w:type="dxa"/>
          </w:tcPr>
          <w:p w:rsidR="00B124F2" w:rsidRPr="00042AB4" w:rsidRDefault="00B124F2" w:rsidP="006004CE">
            <w:pPr>
              <w:rPr>
                <w:rFonts w:eastAsia="Calibri"/>
                <w:sz w:val="16"/>
                <w:szCs w:val="16"/>
              </w:rPr>
            </w:pPr>
            <w:r w:rsidRPr="00042AB4">
              <w:rPr>
                <w:rFonts w:eastAsia="Calibri"/>
                <w:sz w:val="16"/>
                <w:szCs w:val="16"/>
              </w:rPr>
              <w:t>Weefsel- of celtype</w:t>
            </w:r>
          </w:p>
        </w:tc>
        <w:tc>
          <w:tcPr>
            <w:tcW w:w="3770" w:type="dxa"/>
          </w:tcPr>
          <w:p w:rsidR="00B124F2" w:rsidRPr="00D31AE4" w:rsidRDefault="00B124F2" w:rsidP="006004CE">
            <w:pPr>
              <w:rPr>
                <w:rFonts w:eastAsia="Calibri"/>
                <w:sz w:val="16"/>
                <w:szCs w:val="16"/>
              </w:rPr>
            </w:pPr>
            <w:r w:rsidRPr="00D31AE4">
              <w:rPr>
                <w:rFonts w:eastAsia="Calibri"/>
                <w:sz w:val="16"/>
                <w:szCs w:val="16"/>
              </w:rPr>
              <w:t>semen</w:t>
            </w:r>
          </w:p>
        </w:tc>
      </w:tr>
      <w:tr w:rsidR="00B124F2" w:rsidTr="006004CE">
        <w:tc>
          <w:tcPr>
            <w:tcW w:w="2467" w:type="dxa"/>
          </w:tcPr>
          <w:p w:rsidR="00B124F2" w:rsidRPr="00042AB4" w:rsidRDefault="00B124F2" w:rsidP="006004CE">
            <w:pPr>
              <w:rPr>
                <w:rFonts w:eastAsia="Calibri"/>
                <w:sz w:val="16"/>
                <w:szCs w:val="16"/>
              </w:rPr>
            </w:pPr>
            <w:r w:rsidRPr="00042AB4">
              <w:rPr>
                <w:rFonts w:eastAsia="Calibri"/>
                <w:sz w:val="16"/>
                <w:szCs w:val="16"/>
              </w:rPr>
              <w:t>Aantal in opslag 1-1</w:t>
            </w:r>
          </w:p>
        </w:tc>
        <w:tc>
          <w:tcPr>
            <w:tcW w:w="3770" w:type="dxa"/>
          </w:tcPr>
          <w:p w:rsidR="00B124F2" w:rsidRPr="00D31AE4" w:rsidRDefault="00B124F2" w:rsidP="006004CE">
            <w:pPr>
              <w:rPr>
                <w:rFonts w:eastAsia="Calibri"/>
                <w:sz w:val="16"/>
                <w:szCs w:val="16"/>
              </w:rPr>
            </w:pPr>
            <w:r w:rsidRPr="00D31AE4">
              <w:rPr>
                <w:rFonts w:eastAsia="Calibri"/>
                <w:sz w:val="16"/>
                <w:szCs w:val="16"/>
              </w:rPr>
              <w:t>-</w:t>
            </w:r>
          </w:p>
        </w:tc>
      </w:tr>
      <w:tr w:rsidR="00B124F2" w:rsidTr="006004CE">
        <w:tc>
          <w:tcPr>
            <w:tcW w:w="2467" w:type="dxa"/>
          </w:tcPr>
          <w:p w:rsidR="00B124F2" w:rsidRPr="00042AB4" w:rsidRDefault="00B124F2" w:rsidP="006004CE">
            <w:pPr>
              <w:rPr>
                <w:rFonts w:eastAsia="Calibri"/>
                <w:sz w:val="16"/>
                <w:szCs w:val="16"/>
              </w:rPr>
            </w:pPr>
            <w:r w:rsidRPr="00042AB4">
              <w:rPr>
                <w:rFonts w:eastAsia="Calibri"/>
                <w:sz w:val="16"/>
                <w:szCs w:val="16"/>
              </w:rPr>
              <w:t>Aantal verkregen</w:t>
            </w:r>
          </w:p>
        </w:tc>
        <w:tc>
          <w:tcPr>
            <w:tcW w:w="3770" w:type="dxa"/>
          </w:tcPr>
          <w:p w:rsidR="00B124F2" w:rsidRPr="00D31AE4" w:rsidRDefault="00857215" w:rsidP="00857215">
            <w:pPr>
              <w:rPr>
                <w:rFonts w:eastAsia="Calibri"/>
                <w:sz w:val="16"/>
                <w:szCs w:val="16"/>
              </w:rPr>
            </w:pPr>
            <w:r>
              <w:rPr>
                <w:rFonts w:eastAsia="Calibri"/>
                <w:sz w:val="16"/>
                <w:szCs w:val="16"/>
              </w:rPr>
              <w:t>1007</w:t>
            </w:r>
          </w:p>
        </w:tc>
      </w:tr>
      <w:tr w:rsidR="00B124F2" w:rsidTr="006004CE">
        <w:tc>
          <w:tcPr>
            <w:tcW w:w="2467" w:type="dxa"/>
          </w:tcPr>
          <w:p w:rsidR="00B124F2" w:rsidRPr="00042AB4" w:rsidRDefault="00B124F2" w:rsidP="006004CE">
            <w:pPr>
              <w:rPr>
                <w:rFonts w:eastAsia="Calibri"/>
                <w:sz w:val="16"/>
                <w:szCs w:val="16"/>
              </w:rPr>
            </w:pPr>
            <w:r w:rsidRPr="00042AB4">
              <w:rPr>
                <w:rFonts w:eastAsia="Calibri"/>
                <w:sz w:val="16"/>
                <w:szCs w:val="16"/>
              </w:rPr>
              <w:t>Herkomst</w:t>
            </w:r>
          </w:p>
        </w:tc>
        <w:tc>
          <w:tcPr>
            <w:tcW w:w="3770" w:type="dxa"/>
          </w:tcPr>
          <w:p w:rsidR="00B124F2" w:rsidRDefault="00B124F2" w:rsidP="006004CE">
            <w:pPr>
              <w:rPr>
                <w:rFonts w:eastAsia="Calibri"/>
                <w:sz w:val="16"/>
                <w:szCs w:val="16"/>
              </w:rPr>
            </w:pPr>
            <w:r>
              <w:rPr>
                <w:rFonts w:eastAsia="Calibri"/>
                <w:sz w:val="16"/>
                <w:szCs w:val="16"/>
              </w:rPr>
              <w:t>NL:</w:t>
            </w:r>
            <w:r w:rsidR="00857215">
              <w:rPr>
                <w:rFonts w:eastAsia="Calibri"/>
                <w:sz w:val="16"/>
                <w:szCs w:val="16"/>
              </w:rPr>
              <w:t xml:space="preserve"> 876</w:t>
            </w:r>
            <w:r w:rsidR="0003102B">
              <w:rPr>
                <w:rFonts w:eastAsia="Calibri"/>
                <w:sz w:val="16"/>
                <w:szCs w:val="16"/>
              </w:rPr>
              <w:t>, waarvan 29 donor</w:t>
            </w:r>
          </w:p>
          <w:p w:rsidR="00B124F2" w:rsidRPr="00D31AE4" w:rsidRDefault="00B124F2" w:rsidP="00264136">
            <w:pPr>
              <w:rPr>
                <w:rFonts w:eastAsia="Calibri"/>
                <w:sz w:val="16"/>
                <w:szCs w:val="16"/>
              </w:rPr>
            </w:pPr>
            <w:r>
              <w:rPr>
                <w:rFonts w:eastAsia="Calibri"/>
                <w:sz w:val="16"/>
                <w:szCs w:val="16"/>
              </w:rPr>
              <w:t>EU (excl. NL):</w:t>
            </w:r>
            <w:r w:rsidR="00857215">
              <w:rPr>
                <w:rFonts w:eastAsia="Calibri"/>
                <w:sz w:val="16"/>
                <w:szCs w:val="16"/>
              </w:rPr>
              <w:t xml:space="preserve"> 131</w:t>
            </w:r>
            <w:r w:rsidR="0003102B">
              <w:rPr>
                <w:rFonts w:eastAsia="Calibri"/>
                <w:sz w:val="16"/>
                <w:szCs w:val="16"/>
              </w:rPr>
              <w:t xml:space="preserve"> </w:t>
            </w:r>
          </w:p>
        </w:tc>
      </w:tr>
      <w:tr w:rsidR="00B124F2" w:rsidTr="006004CE">
        <w:tc>
          <w:tcPr>
            <w:tcW w:w="2467" w:type="dxa"/>
          </w:tcPr>
          <w:p w:rsidR="00B124F2" w:rsidRPr="00042AB4" w:rsidRDefault="00B124F2" w:rsidP="006004CE">
            <w:pPr>
              <w:rPr>
                <w:rFonts w:eastAsia="Calibri"/>
                <w:sz w:val="16"/>
                <w:szCs w:val="16"/>
              </w:rPr>
            </w:pPr>
            <w:r w:rsidRPr="00042AB4">
              <w:rPr>
                <w:rFonts w:eastAsia="Calibri"/>
                <w:sz w:val="16"/>
                <w:szCs w:val="16"/>
              </w:rPr>
              <w:t>Bron</w:t>
            </w:r>
          </w:p>
        </w:tc>
        <w:tc>
          <w:tcPr>
            <w:tcW w:w="3770" w:type="dxa"/>
          </w:tcPr>
          <w:p w:rsidR="00B124F2" w:rsidRPr="00D31AE4" w:rsidRDefault="00B124F2" w:rsidP="006004CE">
            <w:pPr>
              <w:rPr>
                <w:rFonts w:eastAsia="Calibri"/>
                <w:sz w:val="16"/>
                <w:szCs w:val="16"/>
              </w:rPr>
            </w:pPr>
            <w:r>
              <w:rPr>
                <w:rFonts w:eastAsia="Calibri"/>
                <w:sz w:val="16"/>
                <w:szCs w:val="16"/>
              </w:rPr>
              <w:t xml:space="preserve">Levende partners, </w:t>
            </w:r>
            <w:r w:rsidR="00E850A9">
              <w:rPr>
                <w:rFonts w:eastAsia="Calibri"/>
                <w:sz w:val="16"/>
                <w:szCs w:val="16"/>
              </w:rPr>
              <w:t xml:space="preserve">levende </w:t>
            </w:r>
            <w:r>
              <w:rPr>
                <w:rFonts w:eastAsia="Calibri"/>
                <w:sz w:val="16"/>
                <w:szCs w:val="16"/>
              </w:rPr>
              <w:t>donoren</w:t>
            </w:r>
            <w:r w:rsidR="00E850A9">
              <w:rPr>
                <w:rFonts w:eastAsia="Calibri"/>
                <w:sz w:val="16"/>
                <w:szCs w:val="16"/>
              </w:rPr>
              <w:t>, cryo-</w:t>
            </w:r>
            <w:proofErr w:type="spellStart"/>
            <w:r w:rsidR="00E850A9">
              <w:rPr>
                <w:rFonts w:eastAsia="Calibri"/>
                <w:sz w:val="16"/>
                <w:szCs w:val="16"/>
              </w:rPr>
              <w:t>donorsemen</w:t>
            </w:r>
            <w:proofErr w:type="spellEnd"/>
          </w:p>
        </w:tc>
      </w:tr>
      <w:tr w:rsidR="00B124F2" w:rsidTr="006004CE">
        <w:tc>
          <w:tcPr>
            <w:tcW w:w="2467" w:type="dxa"/>
          </w:tcPr>
          <w:p w:rsidR="00B124F2" w:rsidRPr="00042AB4" w:rsidRDefault="00B124F2" w:rsidP="006004CE">
            <w:pPr>
              <w:rPr>
                <w:rFonts w:eastAsia="Calibri"/>
                <w:sz w:val="16"/>
                <w:szCs w:val="16"/>
              </w:rPr>
            </w:pPr>
            <w:r w:rsidRPr="00042AB4">
              <w:rPr>
                <w:rFonts w:eastAsia="Calibri"/>
                <w:sz w:val="16"/>
                <w:szCs w:val="16"/>
              </w:rPr>
              <w:t>Aantal afgekeurd*</w:t>
            </w:r>
          </w:p>
        </w:tc>
        <w:tc>
          <w:tcPr>
            <w:tcW w:w="3770" w:type="dxa"/>
          </w:tcPr>
          <w:p w:rsidR="00B124F2" w:rsidRPr="00D31AE4" w:rsidRDefault="00B124F2" w:rsidP="006004CE">
            <w:pPr>
              <w:rPr>
                <w:rFonts w:eastAsia="Calibri"/>
                <w:sz w:val="16"/>
                <w:szCs w:val="16"/>
              </w:rPr>
            </w:pPr>
          </w:p>
        </w:tc>
      </w:tr>
      <w:tr w:rsidR="00B124F2" w:rsidTr="006004CE">
        <w:tc>
          <w:tcPr>
            <w:tcW w:w="2467" w:type="dxa"/>
          </w:tcPr>
          <w:p w:rsidR="00B124F2" w:rsidRPr="00042AB4" w:rsidRDefault="00B124F2" w:rsidP="006004CE">
            <w:pPr>
              <w:rPr>
                <w:rFonts w:eastAsia="Calibri"/>
                <w:sz w:val="16"/>
                <w:szCs w:val="16"/>
              </w:rPr>
            </w:pPr>
            <w:r w:rsidRPr="00042AB4">
              <w:rPr>
                <w:rFonts w:eastAsia="Calibri"/>
                <w:sz w:val="16"/>
                <w:szCs w:val="16"/>
              </w:rPr>
              <w:t>Aantal bewerkt/gepreserveerd</w:t>
            </w:r>
          </w:p>
        </w:tc>
        <w:tc>
          <w:tcPr>
            <w:tcW w:w="3770" w:type="dxa"/>
          </w:tcPr>
          <w:p w:rsidR="00B124F2" w:rsidRPr="00D31AE4" w:rsidRDefault="00934C30" w:rsidP="006004CE">
            <w:pPr>
              <w:rPr>
                <w:rFonts w:eastAsia="Calibri"/>
                <w:sz w:val="16"/>
                <w:szCs w:val="16"/>
              </w:rPr>
            </w:pPr>
            <w:r>
              <w:rPr>
                <w:rFonts w:eastAsia="Calibri"/>
                <w:sz w:val="16"/>
                <w:szCs w:val="16"/>
              </w:rPr>
              <w:t>876</w:t>
            </w:r>
          </w:p>
        </w:tc>
      </w:tr>
      <w:tr w:rsidR="00B124F2" w:rsidTr="006004CE">
        <w:tc>
          <w:tcPr>
            <w:tcW w:w="2467" w:type="dxa"/>
          </w:tcPr>
          <w:p w:rsidR="00B124F2" w:rsidRPr="00042AB4" w:rsidRDefault="00B124F2" w:rsidP="006004CE">
            <w:pPr>
              <w:rPr>
                <w:rFonts w:eastAsia="Calibri"/>
                <w:sz w:val="16"/>
                <w:szCs w:val="16"/>
              </w:rPr>
            </w:pPr>
            <w:r w:rsidRPr="00042AB4">
              <w:rPr>
                <w:rFonts w:eastAsia="Calibri"/>
                <w:sz w:val="16"/>
                <w:szCs w:val="16"/>
              </w:rPr>
              <w:t>Aantal opgeslagen</w:t>
            </w:r>
          </w:p>
        </w:tc>
        <w:tc>
          <w:tcPr>
            <w:tcW w:w="3770" w:type="dxa"/>
          </w:tcPr>
          <w:p w:rsidR="00B124F2" w:rsidRPr="00D31AE4" w:rsidRDefault="00B124F2" w:rsidP="006004CE">
            <w:pPr>
              <w:rPr>
                <w:rFonts w:eastAsia="Calibri"/>
                <w:sz w:val="16"/>
                <w:szCs w:val="16"/>
              </w:rPr>
            </w:pPr>
            <w:r w:rsidRPr="00D31AE4">
              <w:rPr>
                <w:rFonts w:eastAsia="Calibri"/>
                <w:sz w:val="16"/>
                <w:szCs w:val="16"/>
              </w:rPr>
              <w:t>-</w:t>
            </w:r>
          </w:p>
        </w:tc>
      </w:tr>
      <w:tr w:rsidR="00B124F2" w:rsidTr="006004CE">
        <w:tc>
          <w:tcPr>
            <w:tcW w:w="2467" w:type="dxa"/>
          </w:tcPr>
          <w:p w:rsidR="00B124F2" w:rsidRPr="00042AB4" w:rsidRDefault="00B124F2" w:rsidP="006004CE">
            <w:pPr>
              <w:rPr>
                <w:rFonts w:eastAsia="Calibri"/>
                <w:sz w:val="16"/>
                <w:szCs w:val="16"/>
              </w:rPr>
            </w:pPr>
            <w:r w:rsidRPr="00042AB4">
              <w:rPr>
                <w:rFonts w:eastAsia="Calibri"/>
                <w:sz w:val="16"/>
                <w:szCs w:val="16"/>
              </w:rPr>
              <w:t>Aantal gedistribueerd</w:t>
            </w:r>
          </w:p>
        </w:tc>
        <w:tc>
          <w:tcPr>
            <w:tcW w:w="3770" w:type="dxa"/>
          </w:tcPr>
          <w:p w:rsidR="00B124F2" w:rsidRPr="00D31AE4" w:rsidRDefault="00934C30" w:rsidP="006004CE">
            <w:pPr>
              <w:rPr>
                <w:rFonts w:eastAsia="Calibri"/>
                <w:sz w:val="16"/>
                <w:szCs w:val="16"/>
              </w:rPr>
            </w:pPr>
            <w:r>
              <w:rPr>
                <w:rFonts w:eastAsia="Calibri"/>
                <w:sz w:val="16"/>
                <w:szCs w:val="16"/>
              </w:rPr>
              <w:t>876</w:t>
            </w:r>
            <w:r w:rsidR="00B124F2">
              <w:rPr>
                <w:rFonts w:eastAsia="Calibri"/>
                <w:sz w:val="16"/>
                <w:szCs w:val="16"/>
              </w:rPr>
              <w:t xml:space="preserve"> (binnen kliniek)</w:t>
            </w:r>
          </w:p>
        </w:tc>
      </w:tr>
      <w:tr w:rsidR="00B124F2" w:rsidTr="006004CE">
        <w:tc>
          <w:tcPr>
            <w:tcW w:w="2467" w:type="dxa"/>
          </w:tcPr>
          <w:p w:rsidR="00B124F2" w:rsidRPr="00042AB4" w:rsidRDefault="00B124F2" w:rsidP="006004CE">
            <w:pPr>
              <w:rPr>
                <w:rFonts w:eastAsia="Calibri"/>
                <w:sz w:val="16"/>
                <w:szCs w:val="16"/>
              </w:rPr>
            </w:pPr>
            <w:r w:rsidRPr="00042AB4">
              <w:rPr>
                <w:rFonts w:eastAsia="Calibri"/>
                <w:sz w:val="16"/>
                <w:szCs w:val="16"/>
              </w:rPr>
              <w:t>Aantal in opslag 31-12</w:t>
            </w:r>
          </w:p>
        </w:tc>
        <w:tc>
          <w:tcPr>
            <w:tcW w:w="3770" w:type="dxa"/>
          </w:tcPr>
          <w:p w:rsidR="00B124F2" w:rsidRPr="00D31AE4" w:rsidRDefault="00B124F2" w:rsidP="006004CE">
            <w:pPr>
              <w:rPr>
                <w:rFonts w:eastAsia="Calibri"/>
                <w:sz w:val="16"/>
                <w:szCs w:val="16"/>
              </w:rPr>
            </w:pPr>
            <w:r>
              <w:rPr>
                <w:rFonts w:eastAsia="Calibri"/>
                <w:sz w:val="16"/>
                <w:szCs w:val="16"/>
              </w:rPr>
              <w:t>-</w:t>
            </w:r>
          </w:p>
        </w:tc>
      </w:tr>
    </w:tbl>
    <w:p w:rsidR="00B124F2" w:rsidRPr="00042AB4" w:rsidRDefault="00B124F2" w:rsidP="00B124F2"/>
    <w:p w:rsidR="00B124F2" w:rsidRDefault="00B124F2" w:rsidP="00B124F2"/>
    <w:p w:rsidR="00B124F2" w:rsidRPr="00DA66CC" w:rsidRDefault="00B124F2" w:rsidP="00B124F2">
      <w:r w:rsidRPr="00DA66CC">
        <w:rPr>
          <w:b/>
          <w:i/>
        </w:rPr>
        <w:t>Ontstane zwangerschappen</w:t>
      </w:r>
      <w:r w:rsidRPr="00DA66CC">
        <w:t xml:space="preserve"> (al dan niet doorgaand) na IUI met </w:t>
      </w:r>
      <w:r w:rsidR="00934C30">
        <w:rPr>
          <w:b/>
          <w:i/>
        </w:rPr>
        <w:t>be</w:t>
      </w:r>
      <w:r w:rsidRPr="00DA66CC">
        <w:rPr>
          <w:b/>
          <w:i/>
        </w:rPr>
        <w:t>werkt</w:t>
      </w:r>
      <w:r w:rsidRPr="00DA66CC">
        <w:t xml:space="preserve"> partner-of </w:t>
      </w:r>
      <w:proofErr w:type="spellStart"/>
      <w:r w:rsidRPr="00DA66CC">
        <w:t>donorsemen</w:t>
      </w:r>
      <w:proofErr w:type="spellEnd"/>
      <w:r w:rsidRPr="00DA66CC">
        <w:t>:</w:t>
      </w:r>
      <w:r w:rsidRPr="00DA66CC">
        <w:rPr>
          <w:b/>
          <w:vertAlign w:val="superscript"/>
        </w:rPr>
        <w:t xml:space="preserve"> </w:t>
      </w:r>
    </w:p>
    <w:p w:rsidR="00B124F2" w:rsidRPr="00DA66CC" w:rsidRDefault="00B124F2" w:rsidP="00B124F2">
      <w:r w:rsidRPr="00DA66CC">
        <w:t>Partner inseminatie:</w:t>
      </w:r>
      <w:r w:rsidRPr="00DA66CC">
        <w:tab/>
      </w:r>
      <w:r w:rsidR="00827568">
        <w:t>133</w:t>
      </w:r>
      <w:r w:rsidR="00CB2EF6">
        <w:t xml:space="preserve"> (15,7%)</w:t>
      </w:r>
    </w:p>
    <w:p w:rsidR="00B124F2" w:rsidRPr="00DA66CC" w:rsidRDefault="00B124F2" w:rsidP="00B124F2">
      <w:r w:rsidRPr="00DA66CC">
        <w:t xml:space="preserve">Donor inseminatie:  </w:t>
      </w:r>
      <w:r w:rsidRPr="00DA66CC">
        <w:tab/>
      </w:r>
      <w:r w:rsidR="00827568">
        <w:t>4</w:t>
      </w:r>
      <w:r w:rsidR="00CB2EF6">
        <w:t xml:space="preserve">     (13,8%)</w:t>
      </w:r>
    </w:p>
    <w:p w:rsidR="00B124F2" w:rsidRPr="008353D2" w:rsidRDefault="00B124F2" w:rsidP="00B124F2">
      <w:pPr>
        <w:rPr>
          <w:highlight w:val="yellow"/>
        </w:rPr>
      </w:pPr>
      <w:r w:rsidRPr="00DA66CC">
        <w:t xml:space="preserve">Totaal: </w:t>
      </w:r>
      <w:r w:rsidRPr="00DA66CC">
        <w:tab/>
      </w:r>
      <w:r w:rsidRPr="00DA66CC">
        <w:tab/>
      </w:r>
      <w:r w:rsidRPr="00DA66CC">
        <w:tab/>
      </w:r>
      <w:r w:rsidR="00827568">
        <w:t>137</w:t>
      </w:r>
      <w:r w:rsidRPr="00DA66CC">
        <w:t xml:space="preserve"> (</w:t>
      </w:r>
      <w:r w:rsidR="00827568">
        <w:t>15,6</w:t>
      </w:r>
      <w:r w:rsidRPr="00DA66CC">
        <w:t>%)</w:t>
      </w:r>
      <w:r w:rsidRPr="00DA66CC">
        <w:tab/>
      </w:r>
      <w:r w:rsidRPr="008353D2">
        <w:rPr>
          <w:highlight w:val="yellow"/>
        </w:rPr>
        <w:t xml:space="preserve"> </w:t>
      </w:r>
    </w:p>
    <w:p w:rsidR="00B124F2" w:rsidRDefault="00B124F2" w:rsidP="00B124F2">
      <w:pPr>
        <w:rPr>
          <w:highlight w:val="yellow"/>
        </w:rPr>
      </w:pPr>
    </w:p>
    <w:p w:rsidR="00B124F2" w:rsidRPr="00351BC7" w:rsidRDefault="00B124F2" w:rsidP="00B124F2">
      <w:pPr>
        <w:rPr>
          <w:b/>
        </w:rPr>
      </w:pPr>
      <w:r w:rsidRPr="00351BC7">
        <w:rPr>
          <w:b/>
        </w:rPr>
        <w:t>Meldingen</w:t>
      </w:r>
    </w:p>
    <w:p w:rsidR="00B124F2" w:rsidRPr="00351BC7" w:rsidRDefault="00B124F2" w:rsidP="00B124F2">
      <w:pPr>
        <w:rPr>
          <w:rFonts w:eastAsia="Calibri" w:cs="Arial"/>
          <w:lang w:eastAsia="en-US"/>
        </w:rPr>
      </w:pPr>
      <w:r w:rsidRPr="00351BC7">
        <w:rPr>
          <w:rFonts w:eastAsia="Calibri" w:cs="Arial"/>
          <w:lang w:eastAsia="en-US"/>
        </w:rPr>
        <w:t>In 2019 zijn geen meldingen van voorvallen</w:t>
      </w:r>
      <w:r>
        <w:rPr>
          <w:rFonts w:eastAsia="Calibri" w:cs="Arial"/>
          <w:lang w:eastAsia="en-US"/>
        </w:rPr>
        <w:t xml:space="preserve"> of </w:t>
      </w:r>
      <w:r w:rsidRPr="00351BC7">
        <w:rPr>
          <w:rFonts w:eastAsia="Calibri" w:cs="Arial"/>
          <w:lang w:eastAsia="en-US"/>
        </w:rPr>
        <w:t xml:space="preserve">bijwerkingen aan TRIP gedaan. </w:t>
      </w:r>
    </w:p>
    <w:p w:rsidR="00B124F2" w:rsidRPr="008353D2" w:rsidRDefault="00B124F2" w:rsidP="00B124F2">
      <w:pPr>
        <w:rPr>
          <w:highlight w:val="yellow"/>
        </w:rPr>
      </w:pPr>
    </w:p>
    <w:p w:rsidR="00B124F2" w:rsidRPr="00351BC7" w:rsidRDefault="00B124F2" w:rsidP="00B124F2">
      <w:pPr>
        <w:rPr>
          <w:b/>
        </w:rPr>
      </w:pPr>
      <w:r w:rsidRPr="00351BC7">
        <w:rPr>
          <w:b/>
        </w:rPr>
        <w:t>Proces- en risicoanalyse (PRA)</w:t>
      </w:r>
    </w:p>
    <w:p w:rsidR="00B124F2" w:rsidRPr="00042AB4" w:rsidRDefault="00B124F2" w:rsidP="00B124F2">
      <w:r w:rsidRPr="00351BC7">
        <w:t xml:space="preserve">In 2018 heeft binnen het laboratorium een PRA m.b.t. het </w:t>
      </w:r>
      <w:r w:rsidR="00BD4A08">
        <w:t>be</w:t>
      </w:r>
      <w:bookmarkStart w:id="0" w:name="_GoBack"/>
      <w:bookmarkEnd w:id="0"/>
      <w:r w:rsidRPr="00351BC7">
        <w:t xml:space="preserve">werken van semen plaatsgevonden, waarbij risicovolle handelingen en knelpunten geïnventariseerd zijn. Voor alle vastgestelde potentiele risico's en faalwijzen zijn oplossingen en acties vastgesteld om deze te reduceren. Implementatie van de vastgestelde acties heeft </w:t>
      </w:r>
      <w:r>
        <w:t xml:space="preserve">grotendeels </w:t>
      </w:r>
      <w:r w:rsidRPr="00351BC7">
        <w:t>plaatsgevonden in 2018 en 2019 en kent nog doorloop in 2020.</w:t>
      </w:r>
      <w:r w:rsidRPr="00042AB4">
        <w:t xml:space="preserve"> </w:t>
      </w:r>
    </w:p>
    <w:p w:rsidR="00B124F2" w:rsidRPr="00042AB4" w:rsidRDefault="00B124F2" w:rsidP="00B124F2"/>
    <w:sectPr w:rsidR="00B124F2" w:rsidRPr="00042AB4" w:rsidSect="003355C5">
      <w:pgSz w:w="11906" w:h="16838" w:code="9"/>
      <w:pgMar w:top="1418" w:right="1418" w:bottom="1418" w:left="1418"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632"/>
    <w:multiLevelType w:val="hybridMultilevel"/>
    <w:tmpl w:val="9C3079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DC2358"/>
    <w:multiLevelType w:val="hybridMultilevel"/>
    <w:tmpl w:val="1CBCD7C0"/>
    <w:lvl w:ilvl="0" w:tplc="07382EE2">
      <w:start w:val="1"/>
      <w:numFmt w:val="bullet"/>
      <w:lvlText w:val=""/>
      <w:lvlJc w:val="left"/>
      <w:pPr>
        <w:ind w:left="720" w:hanging="360"/>
      </w:pPr>
      <w:rPr>
        <w:rFonts w:ascii="Symbol" w:hAnsi="Symbol" w:hint="default"/>
      </w:rPr>
    </w:lvl>
    <w:lvl w:ilvl="1" w:tplc="0C30E9FA" w:tentative="1">
      <w:start w:val="1"/>
      <w:numFmt w:val="bullet"/>
      <w:lvlText w:val="o"/>
      <w:lvlJc w:val="left"/>
      <w:pPr>
        <w:ind w:left="1440" w:hanging="360"/>
      </w:pPr>
      <w:rPr>
        <w:rFonts w:ascii="Courier New" w:hAnsi="Courier New" w:cs="Courier New" w:hint="default"/>
      </w:rPr>
    </w:lvl>
    <w:lvl w:ilvl="2" w:tplc="C45A47F8" w:tentative="1">
      <w:start w:val="1"/>
      <w:numFmt w:val="bullet"/>
      <w:lvlText w:val=""/>
      <w:lvlJc w:val="left"/>
      <w:pPr>
        <w:ind w:left="2160" w:hanging="360"/>
      </w:pPr>
      <w:rPr>
        <w:rFonts w:ascii="Wingdings" w:hAnsi="Wingdings" w:hint="default"/>
      </w:rPr>
    </w:lvl>
    <w:lvl w:ilvl="3" w:tplc="79BC8A82" w:tentative="1">
      <w:start w:val="1"/>
      <w:numFmt w:val="bullet"/>
      <w:lvlText w:val=""/>
      <w:lvlJc w:val="left"/>
      <w:pPr>
        <w:ind w:left="2880" w:hanging="360"/>
      </w:pPr>
      <w:rPr>
        <w:rFonts w:ascii="Symbol" w:hAnsi="Symbol" w:hint="default"/>
      </w:rPr>
    </w:lvl>
    <w:lvl w:ilvl="4" w:tplc="3F46F45C" w:tentative="1">
      <w:start w:val="1"/>
      <w:numFmt w:val="bullet"/>
      <w:lvlText w:val="o"/>
      <w:lvlJc w:val="left"/>
      <w:pPr>
        <w:ind w:left="3600" w:hanging="360"/>
      </w:pPr>
      <w:rPr>
        <w:rFonts w:ascii="Courier New" w:hAnsi="Courier New" w:cs="Courier New" w:hint="default"/>
      </w:rPr>
    </w:lvl>
    <w:lvl w:ilvl="5" w:tplc="1A6AD622" w:tentative="1">
      <w:start w:val="1"/>
      <w:numFmt w:val="bullet"/>
      <w:lvlText w:val=""/>
      <w:lvlJc w:val="left"/>
      <w:pPr>
        <w:ind w:left="4320" w:hanging="360"/>
      </w:pPr>
      <w:rPr>
        <w:rFonts w:ascii="Wingdings" w:hAnsi="Wingdings" w:hint="default"/>
      </w:rPr>
    </w:lvl>
    <w:lvl w:ilvl="6" w:tplc="8698DE9A" w:tentative="1">
      <w:start w:val="1"/>
      <w:numFmt w:val="bullet"/>
      <w:lvlText w:val=""/>
      <w:lvlJc w:val="left"/>
      <w:pPr>
        <w:ind w:left="5040" w:hanging="360"/>
      </w:pPr>
      <w:rPr>
        <w:rFonts w:ascii="Symbol" w:hAnsi="Symbol" w:hint="default"/>
      </w:rPr>
    </w:lvl>
    <w:lvl w:ilvl="7" w:tplc="3318AFAC" w:tentative="1">
      <w:start w:val="1"/>
      <w:numFmt w:val="bullet"/>
      <w:lvlText w:val="o"/>
      <w:lvlJc w:val="left"/>
      <w:pPr>
        <w:ind w:left="5760" w:hanging="360"/>
      </w:pPr>
      <w:rPr>
        <w:rFonts w:ascii="Courier New" w:hAnsi="Courier New" w:cs="Courier New" w:hint="default"/>
      </w:rPr>
    </w:lvl>
    <w:lvl w:ilvl="8" w:tplc="ED9408F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F28"/>
    <w:rsid w:val="00003F26"/>
    <w:rsid w:val="0003102B"/>
    <w:rsid w:val="00086333"/>
    <w:rsid w:val="00091305"/>
    <w:rsid w:val="000D0D80"/>
    <w:rsid w:val="000F12B8"/>
    <w:rsid w:val="000F4DCF"/>
    <w:rsid w:val="0014715A"/>
    <w:rsid w:val="001750F3"/>
    <w:rsid w:val="001F74CA"/>
    <w:rsid w:val="00247B54"/>
    <w:rsid w:val="00264136"/>
    <w:rsid w:val="002B5B51"/>
    <w:rsid w:val="002D5989"/>
    <w:rsid w:val="00311693"/>
    <w:rsid w:val="003355C5"/>
    <w:rsid w:val="0036201E"/>
    <w:rsid w:val="00397BF8"/>
    <w:rsid w:val="003E4076"/>
    <w:rsid w:val="003E6089"/>
    <w:rsid w:val="00437EEA"/>
    <w:rsid w:val="00453E85"/>
    <w:rsid w:val="00470816"/>
    <w:rsid w:val="004C4130"/>
    <w:rsid w:val="004D68AE"/>
    <w:rsid w:val="005151DB"/>
    <w:rsid w:val="00515B87"/>
    <w:rsid w:val="00564A0A"/>
    <w:rsid w:val="00582F3E"/>
    <w:rsid w:val="00584367"/>
    <w:rsid w:val="005B0106"/>
    <w:rsid w:val="005B2CA6"/>
    <w:rsid w:val="005E29A7"/>
    <w:rsid w:val="005E7220"/>
    <w:rsid w:val="006A2D2A"/>
    <w:rsid w:val="006C2DDB"/>
    <w:rsid w:val="00700578"/>
    <w:rsid w:val="00716E20"/>
    <w:rsid w:val="00770986"/>
    <w:rsid w:val="007A1AE1"/>
    <w:rsid w:val="007F59C0"/>
    <w:rsid w:val="00806F1C"/>
    <w:rsid w:val="00812F28"/>
    <w:rsid w:val="00827568"/>
    <w:rsid w:val="00857215"/>
    <w:rsid w:val="00861DDD"/>
    <w:rsid w:val="00890F1E"/>
    <w:rsid w:val="008B4CBB"/>
    <w:rsid w:val="008D04A9"/>
    <w:rsid w:val="00934C30"/>
    <w:rsid w:val="00934D25"/>
    <w:rsid w:val="00946A28"/>
    <w:rsid w:val="009D5459"/>
    <w:rsid w:val="009E0EA1"/>
    <w:rsid w:val="00A131DB"/>
    <w:rsid w:val="00A518F5"/>
    <w:rsid w:val="00A91E62"/>
    <w:rsid w:val="00AB5367"/>
    <w:rsid w:val="00AD7E92"/>
    <w:rsid w:val="00AF1501"/>
    <w:rsid w:val="00B124F2"/>
    <w:rsid w:val="00B17BED"/>
    <w:rsid w:val="00B26223"/>
    <w:rsid w:val="00B409B6"/>
    <w:rsid w:val="00B57B49"/>
    <w:rsid w:val="00B76694"/>
    <w:rsid w:val="00BA178F"/>
    <w:rsid w:val="00BD4A08"/>
    <w:rsid w:val="00BE0F59"/>
    <w:rsid w:val="00C13B21"/>
    <w:rsid w:val="00C66C8B"/>
    <w:rsid w:val="00CA759A"/>
    <w:rsid w:val="00CB2EF6"/>
    <w:rsid w:val="00D037CE"/>
    <w:rsid w:val="00D0733A"/>
    <w:rsid w:val="00D26545"/>
    <w:rsid w:val="00D57DBC"/>
    <w:rsid w:val="00D66E6D"/>
    <w:rsid w:val="00D86625"/>
    <w:rsid w:val="00DA27B3"/>
    <w:rsid w:val="00DD362F"/>
    <w:rsid w:val="00DE3F2C"/>
    <w:rsid w:val="00DF6C0F"/>
    <w:rsid w:val="00E03CEE"/>
    <w:rsid w:val="00E23850"/>
    <w:rsid w:val="00E62DC8"/>
    <w:rsid w:val="00E850A9"/>
    <w:rsid w:val="00E91D2E"/>
    <w:rsid w:val="00EB569E"/>
    <w:rsid w:val="00F66C24"/>
    <w:rsid w:val="00F94739"/>
    <w:rsid w:val="00FB2487"/>
    <w:rsid w:val="00FF1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CA94E"/>
  <w15:docId w15:val="{7585267D-3149-49C4-BCDE-EC5FD2F8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B2CA6"/>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B2CA6"/>
    <w:pPr>
      <w:ind w:left="720"/>
    </w:pPr>
    <w:rPr>
      <w:rFonts w:ascii="Calibri" w:eastAsia="Calibri" w:hAnsi="Calibri"/>
      <w:sz w:val="22"/>
      <w:szCs w:val="22"/>
      <w:lang w:eastAsia="en-US"/>
    </w:rPr>
  </w:style>
  <w:style w:type="paragraph" w:styleId="Ballontekst">
    <w:name w:val="Balloon Text"/>
    <w:basedOn w:val="Standaard"/>
    <w:link w:val="BallontekstChar"/>
    <w:rsid w:val="00453E85"/>
    <w:rPr>
      <w:rFonts w:ascii="Tahoma" w:hAnsi="Tahoma" w:cs="Tahoma"/>
      <w:sz w:val="16"/>
      <w:szCs w:val="16"/>
    </w:rPr>
  </w:style>
  <w:style w:type="character" w:customStyle="1" w:styleId="BallontekstChar">
    <w:name w:val="Ballontekst Char"/>
    <w:basedOn w:val="Standaardalinea-lettertype"/>
    <w:link w:val="Ballontekst"/>
    <w:rsid w:val="00453E85"/>
    <w:rPr>
      <w:rFonts w:ascii="Tahoma" w:hAnsi="Tahoma" w:cs="Tahoma"/>
      <w:sz w:val="16"/>
      <w:szCs w:val="16"/>
    </w:rPr>
  </w:style>
  <w:style w:type="table" w:styleId="Tabelraster">
    <w:name w:val="Table Grid"/>
    <w:basedOn w:val="Standaardtabel"/>
    <w:uiPriority w:val="59"/>
    <w:rsid w:val="0014715A"/>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B124F2"/>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18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549</Words>
  <Characters>3512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St. Antonius Ziekenhuis</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i.dijkstra</dc:creator>
  <cp:lastModifiedBy>i.dijkstra</cp:lastModifiedBy>
  <cp:revision>9</cp:revision>
  <dcterms:created xsi:type="dcterms:W3CDTF">2020-06-15T07:43:00Z</dcterms:created>
  <dcterms:modified xsi:type="dcterms:W3CDTF">2020-06-15T09:31:00Z</dcterms:modified>
</cp:coreProperties>
</file>